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cedure di valutazione relative all'analisi dell'impatto della regolamentazione (AIR) ai sensi dell'art.14, comma 1, della legge 28 novembre 2005, n. 246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cedure di valutazione relative all'analisi dell'impatto della regolamentazione (AIR) ai sensi dell'art.14, comma 1, della legge 28 novembre 2005, n. 246.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