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gettazione esterna (preliminare, definitiva, esecut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gettazione esterna (preliminare, definitiva, esecut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